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1F" w:rsidRDefault="00121ABF">
      <w:pPr>
        <w:pStyle w:val="BodyText"/>
        <w:spacing w:before="73" w:line="252" w:lineRule="exact"/>
        <w:ind w:left="3919"/>
        <w:jc w:val="center"/>
      </w:pPr>
      <w:r>
        <w:rPr>
          <w:b w:val="0"/>
          <w:noProof/>
          <w:lang w:val="lt-LT" w:eastAsia="lt-LT"/>
        </w:rPr>
        <w:drawing>
          <wp:anchor distT="0" distB="0" distL="114300" distR="114300" simplePos="0" relativeHeight="251658240" behindDoc="0" locked="0" layoutInCell="1" allowOverlap="1" wp14:anchorId="682E1BEF" wp14:editId="4BF27D1C">
            <wp:simplePos x="0" y="0"/>
            <wp:positionH relativeFrom="column">
              <wp:posOffset>8801100</wp:posOffset>
            </wp:positionH>
            <wp:positionV relativeFrom="paragraph">
              <wp:posOffset>64135</wp:posOffset>
            </wp:positionV>
            <wp:extent cx="952500" cy="5429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2FD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62ECA9" wp14:editId="621DCF4E">
                <wp:simplePos x="0" y="0"/>
                <wp:positionH relativeFrom="page">
                  <wp:posOffset>1210310</wp:posOffset>
                </wp:positionH>
                <wp:positionV relativeFrom="paragraph">
                  <wp:posOffset>129540</wp:posOffset>
                </wp:positionV>
                <wp:extent cx="471170" cy="355600"/>
                <wp:effectExtent l="635" t="2540" r="0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" cy="355600"/>
                          <a:chOff x="1906" y="204"/>
                          <a:chExt cx="742" cy="560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2" y="203"/>
                            <a:ext cx="514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357"/>
                            <a:ext cx="742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DAB53" id="Group 6" o:spid="_x0000_s1026" style="position:absolute;margin-left:95.3pt;margin-top:10.2pt;width:37.1pt;height:28pt;z-index:251656192;mso-position-horizontal-relative:page" coordorigin="1906,204" coordsize="742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912;top:203;width:514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">
                  <v:imagedata r:id="rId7" o:title=""/>
                </v:shape>
                <v:shape id="Picture 7" o:spid="_x0000_s1028" type="#_x0000_t75" style="position:absolute;left:1905;top:357;width:742;height: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val="lt-LT" w:eastAsia="lt-LT"/>
        </w:rPr>
        <w:drawing>
          <wp:anchor distT="0" distB="0" distL="0" distR="0" simplePos="0" relativeHeight="251655168" behindDoc="0" locked="0" layoutInCell="1" allowOverlap="1" wp14:anchorId="2CA6E138" wp14:editId="191ADAD1">
            <wp:simplePos x="0" y="0"/>
            <wp:positionH relativeFrom="page">
              <wp:posOffset>661416</wp:posOffset>
            </wp:positionH>
            <wp:positionV relativeFrom="paragraph">
              <wp:posOffset>10662</wp:posOffset>
            </wp:positionV>
            <wp:extent cx="486156" cy="46481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56" cy="46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„ALYTAUS RUDUO</w:t>
      </w:r>
      <w:r>
        <w:t xml:space="preserve"> – 2017“</w:t>
      </w:r>
    </w:p>
    <w:p w:rsidR="0086061F" w:rsidRDefault="00121ABF">
      <w:pPr>
        <w:pStyle w:val="BodyText"/>
        <w:spacing w:line="252" w:lineRule="exact"/>
        <w:ind w:left="5283"/>
        <w:jc w:val="center"/>
      </w:pPr>
      <w:r>
        <w:t>2017 m. LIETUVOS MINI RALIO ČEMPIONATO V</w:t>
      </w:r>
      <w:r>
        <w:t xml:space="preserve"> ETAPAS</w:t>
      </w:r>
    </w:p>
    <w:p w:rsidR="0086061F" w:rsidRDefault="00121ABF">
      <w:pPr>
        <w:pStyle w:val="BodyText"/>
        <w:spacing w:line="252" w:lineRule="exact"/>
        <w:ind w:left="5314"/>
        <w:jc w:val="center"/>
      </w:pPr>
      <w:r>
        <w:t>V</w:t>
      </w:r>
      <w:r>
        <w:t xml:space="preserve"> EVENT OF 2017 LITHUANIAN MINI RALLY</w:t>
      </w:r>
      <w:r>
        <w:rPr>
          <w:spacing w:val="-14"/>
        </w:rPr>
        <w:t xml:space="preserve"> </w:t>
      </w:r>
      <w:r>
        <w:t>CHAMPIONSHIP</w:t>
      </w:r>
    </w:p>
    <w:p w:rsidR="0086061F" w:rsidRDefault="00121ABF">
      <w:pPr>
        <w:pStyle w:val="BodyText"/>
        <w:spacing w:before="92"/>
        <w:ind w:left="3915"/>
        <w:jc w:val="center"/>
      </w:pPr>
      <w:r>
        <w:t>2017-10</w:t>
      </w:r>
      <w:r>
        <w:t>-08</w:t>
      </w:r>
      <w:bookmarkStart w:id="0" w:name="_GoBack"/>
      <w:bookmarkEnd w:id="0"/>
    </w:p>
    <w:p w:rsidR="0086061F" w:rsidRDefault="0086061F">
      <w:pPr>
        <w:pStyle w:val="BodyText"/>
        <w:spacing w:before="8"/>
        <w:rPr>
          <w:sz w:val="19"/>
        </w:rPr>
      </w:pPr>
    </w:p>
    <w:p w:rsidR="0086061F" w:rsidRDefault="00121ABF">
      <w:pPr>
        <w:ind w:left="574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BAUDŲ LENTELĖ/ TABLE OF PENALTIES</w:t>
      </w:r>
    </w:p>
    <w:p w:rsidR="0086061F" w:rsidRDefault="00121ABF" w:rsidP="00121ABF">
      <w:pPr>
        <w:pStyle w:val="BodyText"/>
        <w:jc w:val="right"/>
      </w:pPr>
      <w:r>
        <w:rPr>
          <w:b w:val="0"/>
        </w:rPr>
        <w:br w:type="column"/>
      </w:r>
    </w:p>
    <w:p w:rsidR="0086061F" w:rsidRDefault="0086061F">
      <w:pPr>
        <w:pStyle w:val="BodyText"/>
      </w:pPr>
    </w:p>
    <w:p w:rsidR="0086061F" w:rsidRDefault="0086061F">
      <w:pPr>
        <w:pStyle w:val="BodyText"/>
      </w:pPr>
    </w:p>
    <w:p w:rsidR="0086061F" w:rsidRDefault="0086061F">
      <w:pPr>
        <w:pStyle w:val="BodyText"/>
      </w:pPr>
    </w:p>
    <w:p w:rsidR="0086061F" w:rsidRDefault="00121ABF">
      <w:pPr>
        <w:spacing w:before="164"/>
        <w:ind w:left="461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Priedas/ Appendix 5</w:t>
      </w:r>
    </w:p>
    <w:p w:rsidR="0086061F" w:rsidRDefault="0086061F">
      <w:pPr>
        <w:rPr>
          <w:rFonts w:ascii="Times New Roman"/>
          <w:sz w:val="20"/>
        </w:rPr>
        <w:sectPr w:rsidR="0086061F">
          <w:type w:val="continuous"/>
          <w:pgSz w:w="16840" w:h="11910" w:orient="landscape"/>
          <w:pgMar w:top="640" w:right="400" w:bottom="280" w:left="580" w:header="567" w:footer="567" w:gutter="0"/>
          <w:cols w:num="2" w:space="1296" w:equalWidth="0">
            <w:col w:w="12030" w:space="954"/>
            <w:col w:w="2876"/>
          </w:cols>
        </w:sectPr>
      </w:pPr>
    </w:p>
    <w:p w:rsidR="0086061F" w:rsidRDefault="0086061F">
      <w:pPr>
        <w:pStyle w:val="BodyText"/>
        <w:spacing w:before="4"/>
        <w:rPr>
          <w:i/>
          <w:sz w:val="24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521"/>
        <w:gridCol w:w="1418"/>
        <w:gridCol w:w="1277"/>
        <w:gridCol w:w="991"/>
        <w:gridCol w:w="1702"/>
        <w:gridCol w:w="1416"/>
        <w:gridCol w:w="1560"/>
      </w:tblGrid>
      <w:tr w:rsidR="0086061F">
        <w:trPr>
          <w:trHeight w:val="540"/>
        </w:trPr>
        <w:tc>
          <w:tcPr>
            <w:tcW w:w="710" w:type="dxa"/>
            <w:shd w:val="clear" w:color="auto" w:fill="D9D9D9"/>
          </w:tcPr>
          <w:p w:rsidR="0086061F" w:rsidRDefault="00121ABF">
            <w:pPr>
              <w:pStyle w:val="TableParagraph"/>
              <w:spacing w:before="52"/>
              <w:ind w:left="215" w:right="117" w:hanging="1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Eil.Nr. No.</w:t>
            </w:r>
          </w:p>
        </w:tc>
        <w:tc>
          <w:tcPr>
            <w:tcW w:w="6521" w:type="dxa"/>
            <w:shd w:val="clear" w:color="auto" w:fill="D9D9D9"/>
          </w:tcPr>
          <w:p w:rsidR="0086061F" w:rsidRDefault="0086061F">
            <w:pPr>
              <w:pStyle w:val="TableParagraph"/>
              <w:spacing w:before="2"/>
              <w:rPr>
                <w:rFonts w:ascii="Times New Roman"/>
                <w:b/>
                <w:i/>
                <w:sz w:val="14"/>
              </w:rPr>
            </w:pPr>
          </w:p>
          <w:p w:rsidR="0086061F" w:rsidRDefault="00121ABF">
            <w:pPr>
              <w:pStyle w:val="TableParagraph"/>
              <w:ind w:left="2410" w:right="240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Pažeidimas/ Violation</w:t>
            </w:r>
          </w:p>
        </w:tc>
        <w:tc>
          <w:tcPr>
            <w:tcW w:w="1418" w:type="dxa"/>
            <w:shd w:val="clear" w:color="auto" w:fill="D9D9D9"/>
          </w:tcPr>
          <w:p w:rsidR="0086061F" w:rsidRDefault="0086061F">
            <w:pPr>
              <w:pStyle w:val="TableParagraph"/>
              <w:spacing w:before="2"/>
              <w:rPr>
                <w:rFonts w:ascii="Times New Roman"/>
                <w:b/>
                <w:i/>
                <w:sz w:val="14"/>
              </w:rPr>
            </w:pPr>
          </w:p>
          <w:p w:rsidR="0086061F" w:rsidRDefault="00121ABF">
            <w:pPr>
              <w:pStyle w:val="TableParagraph"/>
              <w:ind w:left="40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 - 2017</w:t>
            </w:r>
          </w:p>
        </w:tc>
        <w:tc>
          <w:tcPr>
            <w:tcW w:w="1277" w:type="dxa"/>
            <w:shd w:val="clear" w:color="auto" w:fill="D9D9D9"/>
          </w:tcPr>
          <w:p w:rsidR="0086061F" w:rsidRDefault="00121ABF">
            <w:pPr>
              <w:pStyle w:val="TableParagraph"/>
              <w:spacing w:before="52"/>
              <w:ind w:left="184" w:right="166" w:firstLine="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Nuostatai Regulations</w:t>
            </w:r>
          </w:p>
        </w:tc>
        <w:tc>
          <w:tcPr>
            <w:tcW w:w="991" w:type="dxa"/>
            <w:shd w:val="clear" w:color="auto" w:fill="D9D9D9"/>
          </w:tcPr>
          <w:p w:rsidR="0086061F" w:rsidRDefault="00121ABF">
            <w:pPr>
              <w:pStyle w:val="TableParagraph"/>
              <w:spacing w:before="52"/>
              <w:ind w:left="129" w:right="108" w:hanging="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Šalinimas Expulsion</w:t>
            </w:r>
          </w:p>
        </w:tc>
        <w:tc>
          <w:tcPr>
            <w:tcW w:w="1702" w:type="dxa"/>
            <w:shd w:val="clear" w:color="auto" w:fill="D9D9D9"/>
          </w:tcPr>
          <w:p w:rsidR="0086061F" w:rsidRDefault="00121ABF">
            <w:pPr>
              <w:pStyle w:val="TableParagraph"/>
              <w:spacing w:before="52"/>
              <w:ind w:left="217" w:right="165" w:firstLine="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Laiko bauda Time penalty</w:t>
            </w:r>
          </w:p>
        </w:tc>
        <w:tc>
          <w:tcPr>
            <w:tcW w:w="1416" w:type="dxa"/>
            <w:shd w:val="clear" w:color="auto" w:fill="D9D9D9"/>
          </w:tcPr>
          <w:p w:rsidR="0086061F" w:rsidRDefault="00121ABF">
            <w:pPr>
              <w:pStyle w:val="TableParagraph"/>
              <w:spacing w:before="52"/>
              <w:ind w:left="217" w:right="121" w:hanging="8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Piniginė bauda Cash penalty</w:t>
            </w:r>
          </w:p>
        </w:tc>
        <w:tc>
          <w:tcPr>
            <w:tcW w:w="1560" w:type="dxa"/>
            <w:shd w:val="clear" w:color="auto" w:fill="D9D9D9"/>
          </w:tcPr>
          <w:p w:rsidR="0086061F" w:rsidRDefault="00121ABF">
            <w:pPr>
              <w:pStyle w:val="TableParagraph"/>
              <w:spacing w:before="52"/>
              <w:ind w:left="76" w:right="103" w:firstLine="1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SKK sprendimas Stewards decision</w:t>
            </w:r>
          </w:p>
        </w:tc>
      </w:tr>
      <w:tr w:rsidR="0086061F">
        <w:trPr>
          <w:trHeight w:val="960"/>
        </w:trPr>
        <w:tc>
          <w:tcPr>
            <w:tcW w:w="710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36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375"/>
              <w:rPr>
                <w:sz w:val="20"/>
              </w:rPr>
            </w:pPr>
            <w:r>
              <w:rPr>
                <w:sz w:val="20"/>
              </w:rPr>
              <w:t>Teisėjų nurodymų nevykdymas, atsižymėjimo tvarkos procedūrų pažeidimai arba nevykdymas</w:t>
            </w:r>
          </w:p>
          <w:p w:rsidR="0086061F" w:rsidRDefault="00121ABF">
            <w:pPr>
              <w:pStyle w:val="TableParagraph"/>
              <w:spacing w:before="2"/>
              <w:ind w:left="100" w:right="375"/>
              <w:rPr>
                <w:sz w:val="20"/>
              </w:rPr>
            </w:pPr>
            <w:r>
              <w:rPr>
                <w:sz w:val="20"/>
              </w:rPr>
              <w:t>Failure to comply or non-compliance with marshals instructions and checking procedures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:rsidR="0086061F" w:rsidRDefault="00121ABF">
            <w:pPr>
              <w:pStyle w:val="TableParagraph"/>
              <w:ind w:left="143" w:right="12"/>
              <w:jc w:val="center"/>
              <w:rPr>
                <w:sz w:val="20"/>
              </w:rPr>
            </w:pPr>
            <w:r>
              <w:rPr>
                <w:sz w:val="20"/>
              </w:rPr>
              <w:t>31.6.1</w:t>
            </w:r>
          </w:p>
          <w:p w:rsidR="0086061F" w:rsidRDefault="00121ABF">
            <w:pPr>
              <w:pStyle w:val="TableParagraph"/>
              <w:ind w:left="143" w:right="100"/>
              <w:jc w:val="center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:rsidR="0086061F" w:rsidRDefault="00121AB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1"/>
              <w:ind w:left="100" w:right="1985"/>
              <w:rPr>
                <w:sz w:val="20"/>
              </w:rPr>
            </w:pPr>
            <w:r>
              <w:rPr>
                <w:sz w:val="20"/>
              </w:rPr>
              <w:t>Vėlavimas į administracinę komisiją (už kiekvieną min) Delays to Administrative checking (per every min)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1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26.2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121ABF">
            <w:pPr>
              <w:pStyle w:val="TableParagraph"/>
              <w:spacing w:before="12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2 EUR</w:t>
            </w: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2477"/>
              <w:rPr>
                <w:sz w:val="20"/>
              </w:rPr>
            </w:pPr>
            <w:r>
              <w:rPr>
                <w:sz w:val="20"/>
              </w:rPr>
              <w:t>Vėlavimas į techninę komisiją (už kiekvieną min) Delays to Scrutineering (per every min)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1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26.2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121ABF">
            <w:pPr>
              <w:pStyle w:val="TableParagraph"/>
              <w:spacing w:before="12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2 EUR</w:t>
            </w: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55" w:right="1496" w:hanging="56"/>
              <w:rPr>
                <w:sz w:val="20"/>
              </w:rPr>
            </w:pPr>
            <w:r>
              <w:rPr>
                <w:sz w:val="20"/>
              </w:rPr>
              <w:t>Neteisingai arba nepilnai užpildyti visi privalomi dokumentai Incorrectly or incompletely filled all mandatory documents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1"/>
              <w:ind w:left="335"/>
              <w:rPr>
                <w:sz w:val="20"/>
              </w:rPr>
            </w:pPr>
            <w:r>
              <w:rPr>
                <w:sz w:val="20"/>
              </w:rPr>
              <w:t>21.1-21.6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121ABF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Automobilis neatitinka paraiškoje deklaruotų techninių duomenų</w:t>
            </w:r>
          </w:p>
          <w:p w:rsidR="0086061F" w:rsidRDefault="00121ABF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Car does not comply with the technical data declared in the entry form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1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121ABF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1"/>
              <w:ind w:left="155" w:right="2968" w:hanging="56"/>
              <w:rPr>
                <w:sz w:val="20"/>
              </w:rPr>
            </w:pPr>
            <w:r>
              <w:rPr>
                <w:sz w:val="20"/>
              </w:rPr>
              <w:t>Serviso parko taisyklių pažeidimai Infringements of rules of the Service park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3"/>
              <w:ind w:left="371"/>
              <w:rPr>
                <w:sz w:val="20"/>
              </w:rPr>
            </w:pPr>
            <w:r>
              <w:rPr>
                <w:sz w:val="20"/>
              </w:rPr>
              <w:t>49.1- 49.5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3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121ABF">
            <w:pPr>
              <w:pStyle w:val="TableParagraph"/>
              <w:spacing w:before="123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Iki/ till 20 EUR</w:t>
            </w:r>
          </w:p>
        </w:tc>
        <w:tc>
          <w:tcPr>
            <w:tcW w:w="1560" w:type="dxa"/>
          </w:tcPr>
          <w:p w:rsidR="0086061F" w:rsidRDefault="00121ABF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2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2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line="292" w:lineRule="exact"/>
              <w:ind w:left="100"/>
              <w:rPr>
                <w:sz w:val="20"/>
              </w:rPr>
            </w:pPr>
            <w:r>
              <w:rPr>
                <w:sz w:val="20"/>
              </w:rPr>
              <w:t>Kuro užpylimo zonos pažeidimai</w:t>
            </w:r>
            <w:r>
              <w:rPr>
                <w:sz w:val="24"/>
              </w:rPr>
              <w:t>/ R</w:t>
            </w:r>
            <w:r>
              <w:rPr>
                <w:sz w:val="20"/>
              </w:rPr>
              <w:t>efueling procedures violations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25"/>
              <w:ind w:left="143"/>
              <w:rPr>
                <w:sz w:val="20"/>
              </w:rPr>
            </w:pPr>
            <w:r>
              <w:rPr>
                <w:sz w:val="20"/>
              </w:rPr>
              <w:t>50; 58.1-58.3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line="243" w:lineRule="exact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121ABF">
            <w:pPr>
              <w:pStyle w:val="TableParagraph"/>
              <w:spacing w:line="243" w:lineRule="exact"/>
              <w:ind w:left="3" w:right="106"/>
              <w:jc w:val="center"/>
              <w:rPr>
                <w:sz w:val="20"/>
              </w:rPr>
            </w:pPr>
            <w:r>
              <w:rPr>
                <w:sz w:val="20"/>
              </w:rPr>
              <w:t>Iki/till 20 EUR</w:t>
            </w:r>
          </w:p>
        </w:tc>
        <w:tc>
          <w:tcPr>
            <w:tcW w:w="1560" w:type="dxa"/>
          </w:tcPr>
          <w:p w:rsidR="0086061F" w:rsidRDefault="00121ABF">
            <w:pPr>
              <w:pStyle w:val="TableParagraph"/>
              <w:spacing w:line="24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240"/>
        </w:trPr>
        <w:tc>
          <w:tcPr>
            <w:tcW w:w="710" w:type="dxa"/>
          </w:tcPr>
          <w:p w:rsidR="0086061F" w:rsidRDefault="00121ABF">
            <w:pPr>
              <w:pStyle w:val="TableParagraph"/>
              <w:spacing w:line="24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Uždaro parko režimo pažeidimai/ Park Ferme mode violations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line="243" w:lineRule="exact"/>
              <w:ind w:left="102" w:right="10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line="243" w:lineRule="exact"/>
              <w:ind w:left="77" w:right="128"/>
              <w:jc w:val="center"/>
              <w:rPr>
                <w:sz w:val="20"/>
              </w:rPr>
            </w:pPr>
            <w:r>
              <w:rPr>
                <w:sz w:val="20"/>
              </w:rPr>
              <w:t>12.14; 12.16</w:t>
            </w:r>
          </w:p>
        </w:tc>
        <w:tc>
          <w:tcPr>
            <w:tcW w:w="991" w:type="dxa"/>
          </w:tcPr>
          <w:p w:rsidR="0086061F" w:rsidRDefault="00121ABF">
            <w:pPr>
              <w:pStyle w:val="TableParagraph"/>
              <w:spacing w:line="243" w:lineRule="exact"/>
              <w:ind w:right="4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86061F" w:rsidRDefault="00121ABF">
            <w:pPr>
              <w:pStyle w:val="TableParagraph"/>
              <w:spacing w:line="243" w:lineRule="exact"/>
              <w:ind w:left="2" w:right="106"/>
              <w:jc w:val="center"/>
              <w:rPr>
                <w:sz w:val="20"/>
              </w:rPr>
            </w:pPr>
            <w:r>
              <w:rPr>
                <w:sz w:val="20"/>
              </w:rPr>
              <w:t>Iki/till 20 EUR</w:t>
            </w:r>
          </w:p>
        </w:tc>
        <w:tc>
          <w:tcPr>
            <w:tcW w:w="1560" w:type="dxa"/>
          </w:tcPr>
          <w:p w:rsidR="0086061F" w:rsidRDefault="00121ABF">
            <w:pPr>
              <w:pStyle w:val="TableParagraph"/>
              <w:spacing w:line="24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1300"/>
              <w:rPr>
                <w:sz w:val="20"/>
              </w:rPr>
            </w:pPr>
            <w:r>
              <w:rPr>
                <w:sz w:val="20"/>
              </w:rPr>
              <w:t>Vėlavimas į ralio, GR/PR, sekcijos ar rato startą iki 15 min Delays to the start of the rally, SS, section or leg till 15 minutes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1"/>
              <w:ind w:left="417"/>
              <w:rPr>
                <w:sz w:val="20"/>
              </w:rPr>
            </w:pPr>
            <w:r>
              <w:rPr>
                <w:sz w:val="20"/>
              </w:rPr>
              <w:t>37.4.1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121ABF">
            <w:pPr>
              <w:pStyle w:val="TableParagraph"/>
              <w:spacing w:before="121"/>
              <w:ind w:left="321"/>
              <w:rPr>
                <w:sz w:val="20"/>
              </w:rPr>
            </w:pPr>
            <w:r>
              <w:rPr>
                <w:sz w:val="20"/>
              </w:rPr>
              <w:t>1min / 1 min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3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1"/>
              <w:ind w:left="100" w:right="1153"/>
              <w:rPr>
                <w:sz w:val="20"/>
              </w:rPr>
            </w:pPr>
            <w:r>
              <w:rPr>
                <w:sz w:val="20"/>
              </w:rPr>
              <w:t>Vėlavimas į ralio, GR/PR, sekcijos ar rato startą virš 15 min Delays to the start of the rally, SS, section or leg over 15 minutes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3"/>
              <w:ind w:left="462"/>
              <w:rPr>
                <w:sz w:val="20"/>
              </w:rPr>
            </w:pPr>
            <w:r>
              <w:rPr>
                <w:sz w:val="20"/>
              </w:rPr>
              <w:t>44.2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3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991" w:type="dxa"/>
          </w:tcPr>
          <w:p w:rsidR="0086061F" w:rsidRDefault="00121ABF">
            <w:pPr>
              <w:pStyle w:val="TableParagraph"/>
              <w:spacing w:before="123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24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3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z w:val="20"/>
              </w:rPr>
              <w:t>Vėlavimas į LK (už kiekvieną minutę)/ Delay arrival to TC (per every min)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3"/>
              <w:ind w:left="323"/>
              <w:rPr>
                <w:sz w:val="20"/>
              </w:rPr>
            </w:pPr>
            <w:r>
              <w:rPr>
                <w:sz w:val="20"/>
              </w:rPr>
              <w:t>33.2.10 a</w:t>
            </w: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121ABF">
            <w:pPr>
              <w:pStyle w:val="TableParagraph"/>
              <w:spacing w:before="3"/>
              <w:ind w:left="462"/>
              <w:rPr>
                <w:sz w:val="20"/>
              </w:rPr>
            </w:pPr>
            <w:r>
              <w:rPr>
                <w:sz w:val="20"/>
              </w:rPr>
              <w:t>10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24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3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Skubėjimas į LK (už kiekvieną minutę)/Previous arrival to TC (per every min)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"/>
              <w:ind w:left="321"/>
              <w:rPr>
                <w:sz w:val="20"/>
              </w:rPr>
            </w:pPr>
            <w:r>
              <w:rPr>
                <w:sz w:val="20"/>
              </w:rPr>
              <w:t>33.2.10 b</w:t>
            </w: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121ABF">
            <w:pPr>
              <w:pStyle w:val="TableParagraph"/>
              <w:spacing w:before="1"/>
              <w:ind w:left="462"/>
              <w:rPr>
                <w:sz w:val="20"/>
              </w:rPr>
            </w:pPr>
            <w:r>
              <w:rPr>
                <w:sz w:val="20"/>
              </w:rPr>
              <w:t>60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960"/>
        </w:trPr>
        <w:tc>
          <w:tcPr>
            <w:tcW w:w="710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36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316"/>
              <w:rPr>
                <w:sz w:val="20"/>
              </w:rPr>
            </w:pPr>
            <w:r>
              <w:rPr>
                <w:sz w:val="20"/>
              </w:rPr>
              <w:t>Vėlavimas „tikslaus važiavimo“ ar „laiko normos“ rungtyje nuo 5 sekundžių Iki 2 minučių (už kiekvieną sekundę)</w:t>
            </w:r>
          </w:p>
          <w:p w:rsidR="0086061F" w:rsidRDefault="00121ABF">
            <w:pPr>
              <w:pStyle w:val="TableParagraph"/>
              <w:spacing w:before="2"/>
              <w:ind w:left="100" w:right="375" w:firstLine="55"/>
              <w:rPr>
                <w:sz w:val="20"/>
              </w:rPr>
            </w:pPr>
            <w:r>
              <w:rPr>
                <w:sz w:val="20"/>
              </w:rPr>
              <w:t>Delays in "precision driving" or "time limit" stages from 5 seconds up to 2 minutes (per second)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:rsidR="0086061F" w:rsidRDefault="00121ABF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1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061F" w:rsidRDefault="0086061F">
      <w:pPr>
        <w:rPr>
          <w:rFonts w:ascii="Times New Roman"/>
          <w:sz w:val="18"/>
        </w:rPr>
        <w:sectPr w:rsidR="0086061F">
          <w:type w:val="continuous"/>
          <w:pgSz w:w="16840" w:h="11910" w:orient="landscape"/>
          <w:pgMar w:top="640" w:right="400" w:bottom="280" w:left="580" w:header="567" w:footer="567" w:gutter="0"/>
          <w:cols w:space="1296"/>
        </w:sect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521"/>
        <w:gridCol w:w="1418"/>
        <w:gridCol w:w="1277"/>
        <w:gridCol w:w="991"/>
        <w:gridCol w:w="1702"/>
        <w:gridCol w:w="1416"/>
        <w:gridCol w:w="1560"/>
      </w:tblGrid>
      <w:tr w:rsidR="0086061F">
        <w:trPr>
          <w:trHeight w:val="540"/>
        </w:trPr>
        <w:tc>
          <w:tcPr>
            <w:tcW w:w="710" w:type="dxa"/>
            <w:shd w:val="clear" w:color="auto" w:fill="D9D9D9"/>
          </w:tcPr>
          <w:p w:rsidR="0086061F" w:rsidRDefault="00121ABF">
            <w:pPr>
              <w:pStyle w:val="TableParagraph"/>
              <w:spacing w:before="51"/>
              <w:ind w:left="215" w:right="117" w:hanging="11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Eil.Nr. No.</w:t>
            </w:r>
          </w:p>
        </w:tc>
        <w:tc>
          <w:tcPr>
            <w:tcW w:w="6521" w:type="dxa"/>
            <w:shd w:val="clear" w:color="auto" w:fill="D9D9D9"/>
          </w:tcPr>
          <w:p w:rsidR="0086061F" w:rsidRDefault="00121ABF">
            <w:pPr>
              <w:pStyle w:val="TableParagraph"/>
              <w:spacing w:before="162"/>
              <w:ind w:left="2410" w:right="240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Pažeidimas/ Violation</w:t>
            </w:r>
          </w:p>
        </w:tc>
        <w:tc>
          <w:tcPr>
            <w:tcW w:w="1418" w:type="dxa"/>
            <w:shd w:val="clear" w:color="auto" w:fill="D9D9D9"/>
          </w:tcPr>
          <w:p w:rsidR="0086061F" w:rsidRDefault="00121ABF">
            <w:pPr>
              <w:pStyle w:val="TableParagraph"/>
              <w:spacing w:before="162"/>
              <w:ind w:left="103" w:right="10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 - 2017</w:t>
            </w:r>
          </w:p>
        </w:tc>
        <w:tc>
          <w:tcPr>
            <w:tcW w:w="1277" w:type="dxa"/>
            <w:shd w:val="clear" w:color="auto" w:fill="D9D9D9"/>
          </w:tcPr>
          <w:p w:rsidR="0086061F" w:rsidRDefault="00121ABF">
            <w:pPr>
              <w:pStyle w:val="TableParagraph"/>
              <w:spacing w:before="51"/>
              <w:ind w:left="184" w:right="166" w:firstLine="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Nuostatai Regulations</w:t>
            </w:r>
          </w:p>
        </w:tc>
        <w:tc>
          <w:tcPr>
            <w:tcW w:w="991" w:type="dxa"/>
            <w:shd w:val="clear" w:color="auto" w:fill="D9D9D9"/>
          </w:tcPr>
          <w:p w:rsidR="0086061F" w:rsidRDefault="00121ABF">
            <w:pPr>
              <w:pStyle w:val="TableParagraph"/>
              <w:spacing w:before="51"/>
              <w:ind w:left="129" w:right="108" w:hanging="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Šalinimas Expulsion</w:t>
            </w:r>
          </w:p>
        </w:tc>
        <w:tc>
          <w:tcPr>
            <w:tcW w:w="1702" w:type="dxa"/>
            <w:shd w:val="clear" w:color="auto" w:fill="D9D9D9"/>
          </w:tcPr>
          <w:p w:rsidR="0086061F" w:rsidRDefault="00121ABF">
            <w:pPr>
              <w:pStyle w:val="TableParagraph"/>
              <w:spacing w:before="51"/>
              <w:ind w:left="217" w:right="165" w:firstLine="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Laiko bauda Time penalty</w:t>
            </w:r>
          </w:p>
        </w:tc>
        <w:tc>
          <w:tcPr>
            <w:tcW w:w="1416" w:type="dxa"/>
            <w:shd w:val="clear" w:color="auto" w:fill="D9D9D9"/>
          </w:tcPr>
          <w:p w:rsidR="0086061F" w:rsidRDefault="00121ABF">
            <w:pPr>
              <w:pStyle w:val="TableParagraph"/>
              <w:spacing w:before="51"/>
              <w:ind w:left="217" w:right="121" w:hanging="8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Piniginė bauda </w:t>
            </w:r>
            <w:r>
              <w:rPr>
                <w:b/>
                <w:i/>
                <w:sz w:val="18"/>
              </w:rPr>
              <w:t>Cash penalty</w:t>
            </w:r>
          </w:p>
        </w:tc>
        <w:tc>
          <w:tcPr>
            <w:tcW w:w="1560" w:type="dxa"/>
            <w:shd w:val="clear" w:color="auto" w:fill="D9D9D9"/>
          </w:tcPr>
          <w:p w:rsidR="0086061F" w:rsidRDefault="00121ABF">
            <w:pPr>
              <w:pStyle w:val="TableParagraph"/>
              <w:spacing w:before="51"/>
              <w:ind w:left="76" w:right="103" w:firstLine="1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SKK sprendimas Stewards decision</w:t>
            </w:r>
          </w:p>
        </w:tc>
      </w:tr>
      <w:tr w:rsidR="0086061F">
        <w:trPr>
          <w:trHeight w:val="1020"/>
        </w:trPr>
        <w:tc>
          <w:tcPr>
            <w:tcW w:w="710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60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460"/>
              <w:rPr>
                <w:sz w:val="20"/>
              </w:rPr>
            </w:pPr>
            <w:r>
              <w:rPr>
                <w:sz w:val="20"/>
              </w:rPr>
              <w:t>Vėlavimas „tikslaus važiavimo“ ar „laiko normos“ rungtyje daugiau kaip 2 minutes (PR įveikimo laikas įskaitomas kaip nurodyta laiko normoje)</w:t>
            </w:r>
          </w:p>
          <w:p w:rsidR="0086061F" w:rsidRDefault="00121ABF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Delays in "precision driving" or "time limit" stages over 2 minutes</w:t>
            </w:r>
          </w:p>
          <w:p w:rsidR="0086061F" w:rsidRDefault="00121ABF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4"/>
              </w:rPr>
              <w:t xml:space="preserve">(SS </w:t>
            </w:r>
            <w:r>
              <w:rPr>
                <w:sz w:val="20"/>
              </w:rPr>
              <w:t>overcoming time counted as specified in time norm).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86061F" w:rsidRDefault="0086061F">
            <w:pPr>
              <w:pStyle w:val="TableParagraph"/>
              <w:spacing w:before="5"/>
              <w:rPr>
                <w:rFonts w:ascii="Times New Roman"/>
                <w:b/>
                <w:i/>
                <w:sz w:val="17"/>
              </w:rPr>
            </w:pPr>
          </w:p>
          <w:p w:rsidR="0086061F" w:rsidRDefault="00121ABF">
            <w:pPr>
              <w:pStyle w:val="TableParagraph"/>
              <w:ind w:right="5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+120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960"/>
        </w:trPr>
        <w:tc>
          <w:tcPr>
            <w:tcW w:w="710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36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220"/>
              <w:rPr>
                <w:sz w:val="20"/>
              </w:rPr>
            </w:pPr>
            <w:r>
              <w:rPr>
                <w:sz w:val="20"/>
              </w:rPr>
              <w:t>Skubėjimas „tikslaus važiavimo“ ar „laiko normos“ rungtyje nuo 5 sekundžių iki 4 minučių (už kiekvieną sekundę)</w:t>
            </w:r>
          </w:p>
          <w:p w:rsidR="0086061F" w:rsidRDefault="00121ABF">
            <w:pPr>
              <w:pStyle w:val="TableParagraph"/>
              <w:spacing w:before="2"/>
              <w:ind w:left="145" w:right="225" w:hanging="46"/>
              <w:rPr>
                <w:sz w:val="20"/>
              </w:rPr>
            </w:pPr>
            <w:r>
              <w:rPr>
                <w:sz w:val="20"/>
              </w:rPr>
              <w:t>Early finish in "precision driving" or "time limit" stages from 5 seconds up to 4 minutes (per second)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:rsidR="0086061F" w:rsidRDefault="00121ABF"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1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1020"/>
        </w:trPr>
        <w:tc>
          <w:tcPr>
            <w:tcW w:w="710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60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365"/>
              <w:rPr>
                <w:sz w:val="20"/>
              </w:rPr>
            </w:pPr>
            <w:r>
              <w:rPr>
                <w:sz w:val="20"/>
              </w:rPr>
              <w:t>Skubėjimas „tikslaus važiavimo“ ar „laiko normos“ rungtyje daugiau kaip 4 minutes (PR įveikimo laikas įskaitomas kaip nurodyta laiko normoje)</w:t>
            </w:r>
          </w:p>
          <w:p w:rsidR="0086061F" w:rsidRDefault="00121ABF">
            <w:pPr>
              <w:pStyle w:val="TableParagraph"/>
              <w:spacing w:before="2"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Early finish in "precision driving" or "time limit" stages over 4 minutes</w:t>
            </w:r>
          </w:p>
          <w:p w:rsidR="0086061F" w:rsidRDefault="00121ABF">
            <w:pPr>
              <w:pStyle w:val="TableParagraph"/>
              <w:spacing w:line="292" w:lineRule="exact"/>
              <w:ind w:left="100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SS overcoming time counted as specified</w:t>
            </w:r>
            <w:r>
              <w:rPr>
                <w:sz w:val="20"/>
              </w:rPr>
              <w:t xml:space="preserve"> in time norm).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60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86061F" w:rsidRDefault="0086061F">
            <w:pPr>
              <w:pStyle w:val="TableParagraph"/>
              <w:spacing w:before="5"/>
              <w:rPr>
                <w:rFonts w:ascii="Times New Roman"/>
                <w:b/>
                <w:i/>
                <w:sz w:val="17"/>
              </w:rPr>
            </w:pPr>
          </w:p>
          <w:p w:rsidR="0086061F" w:rsidRDefault="00121ABF">
            <w:pPr>
              <w:pStyle w:val="TableParagraph"/>
              <w:ind w:right="5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+240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1020"/>
        </w:trPr>
        <w:tc>
          <w:tcPr>
            <w:tcW w:w="710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60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103"/>
              <w:rPr>
                <w:sz w:val="20"/>
              </w:rPr>
            </w:pPr>
            <w:r>
              <w:rPr>
                <w:sz w:val="20"/>
              </w:rPr>
              <w:t xml:space="preserve">Nėra atžymos kortelėje „tikslaus važiavimo“/„laiko normos“ rungties finiše dėl ekipažo kaltės (PR įveikimo laikas įskaitomas kaip nurodyta laiko normoje) No record in time card at the finish of "precise driving"/"time limit" stage due to the fault of crew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SS overcoming time counted as specified in time norm).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86061F" w:rsidRDefault="0086061F">
            <w:pPr>
              <w:pStyle w:val="TableParagraph"/>
              <w:spacing w:before="5"/>
              <w:rPr>
                <w:rFonts w:ascii="Times New Roman"/>
                <w:b/>
                <w:i/>
                <w:sz w:val="17"/>
              </w:rPr>
            </w:pPr>
          </w:p>
          <w:p w:rsidR="0086061F" w:rsidRDefault="00121ABF">
            <w:pPr>
              <w:pStyle w:val="TableParagraph"/>
              <w:ind w:right="5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+240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321"/>
              <w:rPr>
                <w:sz w:val="20"/>
              </w:rPr>
            </w:pPr>
            <w:r>
              <w:rPr>
                <w:sz w:val="20"/>
              </w:rPr>
              <w:t>Bet koks, didesnis nei 15 min, vėlavimas pagal individualią laiko normą į LK Delays to TC, more than 15 minutes, according to the individual time norm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1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34.1</w:t>
            </w: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121ABF">
            <w:pPr>
              <w:pStyle w:val="TableParagraph"/>
              <w:spacing w:before="121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960"/>
        </w:trPr>
        <w:tc>
          <w:tcPr>
            <w:tcW w:w="710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36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855"/>
              <w:rPr>
                <w:sz w:val="20"/>
              </w:rPr>
            </w:pPr>
            <w:r>
              <w:rPr>
                <w:sz w:val="20"/>
              </w:rPr>
              <w:t>Įvažiavimas į kontrolės punktą neteisinga kryptimi arba pakartotinas patekimas į kontrolės punkto zoną</w:t>
            </w:r>
          </w:p>
          <w:p w:rsidR="0086061F" w:rsidRDefault="00121ABF">
            <w:pPr>
              <w:pStyle w:val="TableParagraph"/>
              <w:spacing w:before="2"/>
              <w:ind w:left="100" w:right="310"/>
              <w:rPr>
                <w:sz w:val="20"/>
              </w:rPr>
            </w:pPr>
            <w:r>
              <w:rPr>
                <w:sz w:val="20"/>
              </w:rPr>
              <w:t>Crew's entering into the control points in wrong direction or re-entering to the checkpoint area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36"/>
              <w:ind w:left="143" w:right="103"/>
              <w:jc w:val="center"/>
              <w:rPr>
                <w:sz w:val="20"/>
              </w:rPr>
            </w:pPr>
            <w:r>
              <w:rPr>
                <w:sz w:val="20"/>
              </w:rPr>
              <w:t>31.5.1; 31.5.2</w:t>
            </w: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86061F" w:rsidRDefault="00121ABF">
            <w:pPr>
              <w:pStyle w:val="TableParagraph"/>
              <w:spacing w:before="136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240"/>
        </w:trPr>
        <w:tc>
          <w:tcPr>
            <w:tcW w:w="710" w:type="dxa"/>
          </w:tcPr>
          <w:p w:rsidR="0086061F" w:rsidRDefault="00121ABF">
            <w:pPr>
              <w:pStyle w:val="TableParagraph"/>
              <w:spacing w:line="243" w:lineRule="exact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Važiavimas GR/ PR be šalmų/ Driving in SS without helmets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line="243" w:lineRule="exact"/>
              <w:ind w:left="143" w:right="59"/>
              <w:jc w:val="center"/>
              <w:rPr>
                <w:sz w:val="20"/>
              </w:rPr>
            </w:pPr>
            <w:r>
              <w:rPr>
                <w:sz w:val="20"/>
              </w:rPr>
              <w:t>29.6; 40.1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line="243" w:lineRule="exact"/>
              <w:ind w:left="77" w:right="78"/>
              <w:jc w:val="center"/>
              <w:rPr>
                <w:sz w:val="20"/>
              </w:rPr>
            </w:pPr>
            <w:r>
              <w:rPr>
                <w:sz w:val="20"/>
              </w:rPr>
              <w:t>12.11</w:t>
            </w:r>
          </w:p>
        </w:tc>
        <w:tc>
          <w:tcPr>
            <w:tcW w:w="991" w:type="dxa"/>
          </w:tcPr>
          <w:p w:rsidR="0086061F" w:rsidRDefault="00121ABF">
            <w:pPr>
              <w:pStyle w:val="TableParagraph"/>
              <w:spacing w:line="243" w:lineRule="exact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1"/>
              <w:ind w:left="100" w:right="1985"/>
              <w:rPr>
                <w:sz w:val="20"/>
              </w:rPr>
            </w:pPr>
            <w:r>
              <w:rPr>
                <w:sz w:val="20"/>
              </w:rPr>
              <w:t>Važiavimas GR/ PR su neprisegtais saugos diržais Driving in SS with unfastened safety belts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1"/>
              <w:ind w:left="143" w:right="88"/>
              <w:jc w:val="center"/>
              <w:rPr>
                <w:sz w:val="20"/>
              </w:rPr>
            </w:pPr>
            <w:r>
              <w:rPr>
                <w:sz w:val="20"/>
              </w:rPr>
              <w:t>29.6, 40.1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12.11</w:t>
            </w:r>
          </w:p>
        </w:tc>
        <w:tc>
          <w:tcPr>
            <w:tcW w:w="991" w:type="dxa"/>
          </w:tcPr>
          <w:p w:rsidR="0086061F" w:rsidRDefault="00121ABF">
            <w:pPr>
              <w:pStyle w:val="TableParagraph"/>
              <w:spacing w:before="121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1895"/>
              <w:rPr>
                <w:sz w:val="20"/>
              </w:rPr>
            </w:pPr>
            <w:r>
              <w:rPr>
                <w:sz w:val="20"/>
              </w:rPr>
              <w:t>Važiavimas GR/ PR neįjungus artimųjų šviesų žibintų Driving in SS without swithed the low-beam headlamps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12.11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121ABF">
            <w:pPr>
              <w:pStyle w:val="TableParagraph"/>
              <w:spacing w:before="121"/>
              <w:ind w:left="562" w:right="563"/>
              <w:jc w:val="center"/>
              <w:rPr>
                <w:sz w:val="20"/>
              </w:rPr>
            </w:pPr>
            <w:r>
              <w:rPr>
                <w:sz w:val="20"/>
              </w:rPr>
              <w:t>30 sek</w:t>
            </w:r>
          </w:p>
        </w:tc>
        <w:tc>
          <w:tcPr>
            <w:tcW w:w="1416" w:type="dxa"/>
          </w:tcPr>
          <w:p w:rsidR="0086061F" w:rsidRDefault="00121ABF">
            <w:pPr>
              <w:pStyle w:val="TableParagraph"/>
              <w:spacing w:before="121"/>
              <w:ind w:left="405"/>
              <w:rPr>
                <w:sz w:val="20"/>
              </w:rPr>
            </w:pPr>
            <w:r>
              <w:rPr>
                <w:sz w:val="20"/>
              </w:rPr>
              <w:t>10 EUR</w:t>
            </w:r>
          </w:p>
        </w:tc>
        <w:tc>
          <w:tcPr>
            <w:tcW w:w="1560" w:type="dxa"/>
          </w:tcPr>
          <w:p w:rsidR="0086061F" w:rsidRDefault="00121ABF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1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55" w:right="460" w:hanging="56"/>
              <w:rPr>
                <w:sz w:val="20"/>
              </w:rPr>
            </w:pPr>
            <w:r>
              <w:rPr>
                <w:sz w:val="20"/>
              </w:rPr>
              <w:t>Važiavimas GR/ PR prieš kryptį, išskyrus atvejus, kai reikia apsisukti Driving in SS in oposite direction, except when need to turn around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20.1.4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1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991" w:type="dxa"/>
          </w:tcPr>
          <w:p w:rsidR="0086061F" w:rsidRDefault="00121ABF">
            <w:pPr>
              <w:pStyle w:val="TableParagraph"/>
              <w:spacing w:before="121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50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8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Ekipažas nestartuoja GR/ PR per 20 sek. nuo starto signalo</w:t>
            </w:r>
          </w:p>
          <w:p w:rsidR="0086061F" w:rsidRDefault="00121ABF">
            <w:pPr>
              <w:pStyle w:val="TableParagraph"/>
              <w:spacing w:before="7"/>
              <w:ind w:left="145"/>
              <w:rPr>
                <w:sz w:val="20"/>
              </w:rPr>
            </w:pPr>
            <w:r>
              <w:rPr>
                <w:sz w:val="20"/>
              </w:rPr>
              <w:t>The crew does not start in SS during 20 sec. from the start signal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6"/>
              <w:ind w:left="55" w:right="103"/>
              <w:jc w:val="center"/>
              <w:rPr>
                <w:sz w:val="20"/>
              </w:rPr>
            </w:pPr>
            <w:r>
              <w:rPr>
                <w:sz w:val="20"/>
              </w:rPr>
              <w:t>37.4.3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128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12.13</w:t>
            </w:r>
          </w:p>
        </w:tc>
        <w:tc>
          <w:tcPr>
            <w:tcW w:w="991" w:type="dxa"/>
          </w:tcPr>
          <w:p w:rsidR="0086061F" w:rsidRDefault="00121ABF">
            <w:pPr>
              <w:pStyle w:val="TableParagraph"/>
              <w:spacing w:before="128"/>
              <w:ind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24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Falšstartas (už kiekvieną falšstartą)/ False start ( for each case)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3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37.6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line="243" w:lineRule="exact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12.13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121ABF">
            <w:pPr>
              <w:pStyle w:val="TableParagraph"/>
              <w:spacing w:before="1"/>
              <w:ind w:left="551"/>
              <w:rPr>
                <w:sz w:val="20"/>
              </w:rPr>
            </w:pPr>
            <w:r>
              <w:rPr>
                <w:sz w:val="20"/>
              </w:rPr>
              <w:t>10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24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3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sz w:val="20"/>
              </w:rPr>
              <w:t>Tyčinis (sąmoningas) falšstartas/ Intentional (deliberate) False start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3"/>
              <w:ind w:left="57" w:right="103"/>
              <w:jc w:val="center"/>
              <w:rPr>
                <w:sz w:val="20"/>
              </w:rPr>
            </w:pPr>
            <w:r>
              <w:rPr>
                <w:sz w:val="20"/>
              </w:rPr>
              <w:t>37.6</w:t>
            </w:r>
          </w:p>
        </w:tc>
        <w:tc>
          <w:tcPr>
            <w:tcW w:w="1277" w:type="dxa"/>
          </w:tcPr>
          <w:p w:rsidR="0086061F" w:rsidRDefault="00121ABF">
            <w:pPr>
              <w:pStyle w:val="TableParagraph"/>
              <w:spacing w:before="3"/>
              <w:ind w:left="77" w:right="77"/>
              <w:jc w:val="center"/>
              <w:rPr>
                <w:sz w:val="20"/>
              </w:rPr>
            </w:pPr>
            <w:r>
              <w:rPr>
                <w:sz w:val="20"/>
              </w:rPr>
              <w:t>12.13</w:t>
            </w: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121ABF">
            <w:pPr>
              <w:pStyle w:val="TableParagraph"/>
              <w:spacing w:before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86061F">
        <w:trPr>
          <w:trHeight w:val="48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18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ind w:left="100" w:right="1747"/>
              <w:rPr>
                <w:sz w:val="20"/>
              </w:rPr>
            </w:pPr>
            <w:r>
              <w:rPr>
                <w:sz w:val="20"/>
              </w:rPr>
              <w:t>Gairelės nustūmimas ar nuvertimas (už kiekvieną gairelę) Obstacle crowding out  or overthrow (for each obstacle)</w:t>
            </w:r>
          </w:p>
        </w:tc>
        <w:tc>
          <w:tcPr>
            <w:tcW w:w="1418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121ABF">
            <w:pPr>
              <w:pStyle w:val="TableParagraph"/>
              <w:spacing w:before="121"/>
              <w:ind w:left="490" w:right="563"/>
              <w:jc w:val="center"/>
              <w:rPr>
                <w:sz w:val="20"/>
              </w:rPr>
            </w:pPr>
            <w:r>
              <w:rPr>
                <w:sz w:val="20"/>
              </w:rPr>
              <w:t>5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24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Finišo „BAZĖS“ neįvykdymas/ Failure "BASE" in SS Finish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38.1.2</w:t>
            </w: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121ABF">
            <w:pPr>
              <w:pStyle w:val="TableParagraph"/>
              <w:spacing w:before="1"/>
              <w:ind w:left="551"/>
              <w:rPr>
                <w:sz w:val="20"/>
              </w:rPr>
            </w:pPr>
            <w:r>
              <w:rPr>
                <w:sz w:val="20"/>
              </w:rPr>
              <w:t>10 sek</w:t>
            </w: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61F">
        <w:trPr>
          <w:trHeight w:val="500"/>
        </w:trPr>
        <w:tc>
          <w:tcPr>
            <w:tcW w:w="710" w:type="dxa"/>
          </w:tcPr>
          <w:p w:rsidR="0086061F" w:rsidRDefault="00121ABF">
            <w:pPr>
              <w:pStyle w:val="TableParagraph"/>
              <w:spacing w:before="128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521" w:type="dxa"/>
          </w:tcPr>
          <w:p w:rsidR="0086061F" w:rsidRDefault="00121ABF">
            <w:pPr>
              <w:pStyle w:val="TableParagraph"/>
              <w:spacing w:before="1" w:line="247" w:lineRule="auto"/>
              <w:ind w:left="145" w:right="2282" w:hanging="46"/>
              <w:rPr>
                <w:sz w:val="20"/>
              </w:rPr>
            </w:pPr>
            <w:r>
              <w:rPr>
                <w:sz w:val="20"/>
              </w:rPr>
              <w:t>Tyčinis (sąmoningas) finišo „BAZĖS“ neįvykdymas Intentional (deliberate) Failure "BASE" in SS Finish</w:t>
            </w:r>
          </w:p>
        </w:tc>
        <w:tc>
          <w:tcPr>
            <w:tcW w:w="1418" w:type="dxa"/>
          </w:tcPr>
          <w:p w:rsidR="0086061F" w:rsidRDefault="00121ABF">
            <w:pPr>
              <w:pStyle w:val="TableParagraph"/>
              <w:spacing w:before="128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38.1.2</w:t>
            </w:r>
          </w:p>
        </w:tc>
        <w:tc>
          <w:tcPr>
            <w:tcW w:w="1277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6061F" w:rsidRDefault="008606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86061F" w:rsidRDefault="00121ABF">
            <w:pPr>
              <w:pStyle w:val="TableParagraph"/>
              <w:spacing w:before="1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:rsidR="0086061F" w:rsidRDefault="0086061F" w:rsidP="00121ABF">
      <w:pPr>
        <w:rPr>
          <w:sz w:val="20"/>
        </w:rPr>
        <w:sectPr w:rsidR="0086061F">
          <w:pgSz w:w="16840" w:h="11910" w:orient="landscape"/>
          <w:pgMar w:top="420" w:right="400" w:bottom="280" w:left="580" w:header="567" w:footer="567" w:gutter="0"/>
          <w:cols w:space="1296"/>
        </w:sectPr>
      </w:pPr>
    </w:p>
    <w:p w:rsidR="0086061F" w:rsidRDefault="0086061F">
      <w:pPr>
        <w:pStyle w:val="BodyText"/>
        <w:spacing w:before="4"/>
        <w:rPr>
          <w:b w:val="0"/>
          <w:sz w:val="17"/>
        </w:rPr>
      </w:pPr>
    </w:p>
    <w:sectPr w:rsidR="0086061F">
      <w:pgSz w:w="8000" w:h="12000"/>
      <w:pgMar w:top="1120" w:right="0" w:bottom="280" w:left="3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1F"/>
    <w:rsid w:val="00121ABF"/>
    <w:rsid w:val="0086061F"/>
    <w:rsid w:val="0095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346A"/>
  <w15:docId w15:val="{68FFC3A8-8B87-4E1A-A8C8-91C9138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3199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\(Microsoft Word - Priedas appendix 5 Baud\\370 lentel\\353_Table of penalties.doc\)</vt:lpstr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Priedas appendix 5 Baud\\370 lentel\\353_Table of penalties.doc\)</dc:title>
  <dc:creator>User1</dc:creator>
  <cp:lastModifiedBy>2017</cp:lastModifiedBy>
  <cp:revision>3</cp:revision>
  <dcterms:created xsi:type="dcterms:W3CDTF">2017-09-19T08:10:00Z</dcterms:created>
  <dcterms:modified xsi:type="dcterms:W3CDTF">2017-09-19T08:13:00Z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2017-09-19T00:00:00Z</vt:filetime>
  </property>
</Properties>
</file>